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 </w:t>
      </w:r>
      <w:r>
        <w:rPr>
          <w:rFonts w:hint="eastAsia" w:ascii="Arial" w:hAnsi="Arial" w:cs="Arial"/>
          <w:b/>
          <w:sz w:val="24"/>
          <w:szCs w:val="24"/>
        </w:rPr>
        <w:t>10</w:t>
      </w:r>
      <w:r>
        <w:rPr>
          <w:rFonts w:hint="eastAsia" w:ascii="Arial" w:hAnsi="Arial" w:cs="Arial"/>
          <w:b/>
          <w:sz w:val="24"/>
          <w:szCs w:val="24"/>
          <w:lang w:val="en-US" w:eastAsia="zh-CN"/>
        </w:rPr>
        <w:t>8</w:t>
      </w:r>
      <w:r>
        <w:rPr>
          <w:rFonts w:hint="eastAsia" w:ascii="Arial" w:hAnsi="Arial" w:cs="Arial"/>
          <w:b/>
          <w:color w:val="FF0000"/>
          <w:sz w:val="24"/>
          <w:szCs w:val="24"/>
        </w:rPr>
        <w:t xml:space="preserve"> </w:t>
      </w:r>
      <w:r>
        <w:rPr>
          <w:rFonts w:hint="eastAsia" w:ascii="Arial" w:hAnsi="Arial" w:cs="Arial"/>
          <w:b/>
          <w:sz w:val="24"/>
          <w:szCs w:val="24"/>
        </w:rPr>
        <w:t xml:space="preserve">                              R4-2311503</w:t>
      </w:r>
    </w:p>
    <w:bookmarkEnd w:id="2"/>
    <w:p>
      <w:pPr>
        <w:pStyle w:val="15"/>
        <w:widowControl w:val="0"/>
        <w:tabs>
          <w:tab w:val="right" w:pos="10440"/>
          <w:tab w:val="right" w:pos="13323"/>
          <w:tab w:val="clear" w:pos="4680"/>
          <w:tab w:val="clear" w:pos="9360"/>
        </w:tabs>
        <w:spacing w:beforeLines="0" w:afterLines="0"/>
        <w:outlineLvl w:val="0"/>
        <w:rPr>
          <w:b/>
          <w:i/>
          <w:sz w:val="24"/>
        </w:rPr>
      </w:pPr>
      <w:r>
        <w:rPr>
          <w:rFonts w:ascii="Arial" w:hAnsi="Arial" w:eastAsia="宋体" w:cs="Arial"/>
          <w:b/>
          <w:sz w:val="24"/>
          <w:szCs w:val="24"/>
          <w:lang w:eastAsia="zh-CN"/>
        </w:rPr>
        <w:t>Toulouse, France, August 21 – August 25, 2023</w:t>
      </w:r>
    </w:p>
    <w:p>
      <w:pPr>
        <w:widowControl w:val="0"/>
        <w:tabs>
          <w:tab w:val="left" w:pos="1985"/>
        </w:tabs>
        <w:spacing w:before="120" w:after="120" w:line="240" w:lineRule="auto"/>
        <w:outlineLvl w:val="0"/>
        <w:rPr>
          <w:rStyle w:val="59"/>
          <w:b/>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ATG scenarios</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8</w:t>
      </w:r>
      <w:r>
        <w:rPr>
          <w:rStyle w:val="59"/>
          <w:rFonts w:hint="eastAsia"/>
          <w:b/>
          <w:color w:val="auto"/>
        </w:rPr>
        <w:t>.</w:t>
      </w:r>
      <w:r>
        <w:rPr>
          <w:rStyle w:val="59"/>
          <w:rFonts w:hint="eastAsia"/>
          <w:b/>
          <w:color w:val="auto"/>
          <w:lang w:val="en-US" w:eastAsia="zh-CN"/>
        </w:rPr>
        <w:t>13</w:t>
      </w:r>
      <w:r>
        <w:rPr>
          <w:rStyle w:val="59"/>
          <w:rFonts w:hint="eastAsia"/>
          <w:b/>
          <w:color w:val="auto"/>
        </w:rPr>
        <w:t>.</w:t>
      </w:r>
      <w:r>
        <w:rPr>
          <w:rStyle w:val="59"/>
          <w:rFonts w:hint="eastAsia"/>
          <w:b/>
          <w:color w:val="auto"/>
          <w:lang w:val="en-US" w:eastAsia="zh-CN"/>
        </w:rPr>
        <w:t>5.1</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eastAsia"/>
          <w:sz w:val="20"/>
          <w:szCs w:val="20"/>
          <w:lang w:val="en-US" w:eastAsia="zh-CN"/>
        </w:rPr>
      </w:pPr>
      <w:r>
        <w:rPr>
          <w:rFonts w:hint="eastAsia"/>
          <w:sz w:val="20"/>
          <w:szCs w:val="20"/>
          <w:lang w:val="en-US" w:eastAsia="zh-CN"/>
        </w:rPr>
        <w:t>In RAN #99e meeting</w:t>
      </w:r>
      <w:r>
        <w:rPr>
          <w:rFonts w:hint="eastAsia"/>
          <w:sz w:val="20"/>
          <w:szCs w:val="20"/>
          <w:vertAlign w:val="superscript"/>
          <w:lang w:val="en-US" w:eastAsia="zh-CN"/>
        </w:rPr>
        <w:t>[1]</w:t>
      </w:r>
      <w:r>
        <w:rPr>
          <w:rFonts w:hint="eastAsia"/>
          <w:sz w:val="20"/>
          <w:szCs w:val="20"/>
          <w:lang w:val="en-US" w:eastAsia="zh-CN"/>
        </w:rPr>
        <w:t xml:space="preserve">, the revised work item on Air-to-ground network for NR was approved. </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cs="Times New Roman"/>
          <w:sz w:val="20"/>
          <w:szCs w:val="20"/>
          <w:lang w:val="en-US" w:eastAsia="zh-CN"/>
        </w:rPr>
      </w:pPr>
      <w:r>
        <w:rPr>
          <w:rFonts w:hint="eastAsia"/>
          <w:sz w:val="20"/>
          <w:szCs w:val="20"/>
          <w:lang w:val="en-US" w:eastAsia="zh-CN"/>
        </w:rPr>
        <w:t>During RAN4 #107 meeting, some conclusions has been reached for ATG scenarios and deployment</w:t>
      </w:r>
      <w:r>
        <w:rPr>
          <w:rFonts w:hint="eastAsia" w:cs="Times New Roman"/>
          <w:sz w:val="20"/>
          <w:szCs w:val="20"/>
          <w:lang w:val="en-US" w:eastAsia="zh-CN"/>
        </w:rPr>
        <w:t xml:space="preserve"> which are listed below</w:t>
      </w:r>
      <w:r>
        <w:rPr>
          <w:rFonts w:hint="eastAsia" w:cs="Times New Roman"/>
          <w:sz w:val="20"/>
          <w:szCs w:val="20"/>
          <w:vertAlign w:val="superscript"/>
          <w:lang w:val="en-US" w:eastAsia="zh-CN"/>
        </w:rPr>
        <w:t>[2]</w:t>
      </w:r>
      <w:r>
        <w:rPr>
          <w:rFonts w:hint="eastAsia" w:cs="Times New Roman"/>
          <w:sz w:val="20"/>
          <w:szCs w:val="20"/>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b/>
                <w:sz w:val="20"/>
                <w:szCs w:val="20"/>
                <w:u w:val="single"/>
                <w:lang w:eastAsia="ko-KR"/>
              </w:rPr>
            </w:pPr>
            <w:r>
              <w:rPr>
                <w:b/>
                <w:sz w:val="20"/>
                <w:szCs w:val="20"/>
                <w:u w:val="single"/>
                <w:lang w:eastAsia="ko-KR"/>
              </w:rPr>
              <w:t>Issue 1-1: Channel model:</w:t>
            </w:r>
          </w:p>
          <w:p>
            <w:pPr>
              <w:keepNext w:val="0"/>
              <w:keepLines w:val="0"/>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eastAsiaTheme="minorEastAsia"/>
                <w:b/>
                <w:sz w:val="20"/>
                <w:szCs w:val="20"/>
              </w:rPr>
            </w:pPr>
            <w:r>
              <w:rPr>
                <w:rFonts w:hint="eastAsia" w:eastAsiaTheme="minorEastAsia"/>
                <w:b/>
                <w:sz w:val="20"/>
                <w:szCs w:val="20"/>
              </w:rPr>
              <w:t>Agreement:</w:t>
            </w:r>
          </w:p>
          <w:p>
            <w:pPr>
              <w:keepNext w:val="0"/>
              <w:keepLines w:val="0"/>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textAlignment w:val="baseline"/>
              <w:rPr>
                <w:rFonts w:eastAsia="宋体"/>
                <w:sz w:val="20"/>
                <w:szCs w:val="20"/>
                <w:lang w:val="en-GB"/>
              </w:rPr>
            </w:pPr>
            <w:r>
              <w:rPr>
                <w:rFonts w:eastAsia="宋体"/>
                <w:sz w:val="20"/>
                <w:szCs w:val="20"/>
                <w:lang w:val="en-GB"/>
              </w:rPr>
              <w:t>Only consider single path AWGN channel with Doppler for ATG incremental requirements</w:t>
            </w:r>
          </w:p>
          <w:p>
            <w:pPr>
              <w:keepNext w:val="0"/>
              <w:keepLines w:val="0"/>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b/>
                <w:sz w:val="20"/>
                <w:szCs w:val="20"/>
                <w:u w:val="single"/>
                <w:lang w:eastAsia="ko-KR"/>
              </w:rPr>
            </w:pPr>
            <w:r>
              <w:rPr>
                <w:b/>
                <w:sz w:val="20"/>
                <w:szCs w:val="20"/>
                <w:u w:val="single"/>
                <w:lang w:eastAsia="ko-KR"/>
              </w:rPr>
              <w:t>Issue 1-2: Doppler shift assumption:</w:t>
            </w:r>
          </w:p>
          <w:p>
            <w:pPr>
              <w:keepNext w:val="0"/>
              <w:keepLines w:val="0"/>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eastAsiaTheme="minorEastAsia"/>
                <w:b/>
                <w:iCs/>
                <w:sz w:val="20"/>
                <w:szCs w:val="20"/>
              </w:rPr>
            </w:pPr>
            <w:r>
              <w:rPr>
                <w:rFonts w:eastAsiaTheme="minorEastAsia"/>
                <w:b/>
                <w:iCs/>
                <w:sz w:val="20"/>
                <w:szCs w:val="20"/>
              </w:rPr>
              <w:t>Agreement:</w:t>
            </w:r>
          </w:p>
          <w:p>
            <w:pPr>
              <w:keepNext w:val="0"/>
              <w:keepLines w:val="0"/>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textAlignment w:val="baseline"/>
              <w:rPr>
                <w:rFonts w:eastAsia="宋体"/>
                <w:sz w:val="20"/>
                <w:szCs w:val="20"/>
                <w:lang w:val="en-GB"/>
              </w:rPr>
            </w:pPr>
            <w:r>
              <w:rPr>
                <w:rFonts w:eastAsia="宋体"/>
                <w:sz w:val="20"/>
                <w:szCs w:val="20"/>
                <w:lang w:val="en-GB"/>
              </w:rPr>
              <w:t>For FDD: Set Doppler as 200Hz for UL, 220Hz for DL</w:t>
            </w:r>
          </w:p>
          <w:p>
            <w:pPr>
              <w:keepNext w:val="0"/>
              <w:keepLines w:val="0"/>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textAlignment w:val="baseline"/>
              <w:rPr>
                <w:rFonts w:eastAsia="宋体"/>
                <w:sz w:val="20"/>
                <w:szCs w:val="20"/>
                <w:lang w:val="en-GB"/>
              </w:rPr>
            </w:pPr>
            <w:r>
              <w:rPr>
                <w:rFonts w:eastAsia="宋体"/>
                <w:sz w:val="20"/>
                <w:szCs w:val="20"/>
                <w:lang w:val="en-GB"/>
              </w:rPr>
              <w:t>For TDD: Set Doppler as 500Hz</w:t>
            </w:r>
          </w:p>
          <w:p>
            <w:pPr>
              <w:keepNext w:val="0"/>
              <w:keepLines w:val="0"/>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eastAsiaTheme="minorEastAsia"/>
                <w:b/>
                <w:sz w:val="20"/>
                <w:szCs w:val="20"/>
                <w:u w:val="single"/>
              </w:rPr>
            </w:pPr>
            <w:r>
              <w:rPr>
                <w:b/>
                <w:sz w:val="20"/>
                <w:szCs w:val="20"/>
                <w:u w:val="single"/>
                <w:lang w:eastAsia="ko-KR"/>
              </w:rPr>
              <w:t>Issue 1-3: TDD pattern</w:t>
            </w:r>
          </w:p>
          <w:p>
            <w:pPr>
              <w:keepNext w:val="0"/>
              <w:keepLines w:val="0"/>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eastAsiaTheme="minorEastAsia"/>
                <w:b/>
                <w:sz w:val="20"/>
                <w:szCs w:val="20"/>
              </w:rPr>
            </w:pPr>
            <w:r>
              <w:rPr>
                <w:rFonts w:hint="eastAsia" w:eastAsiaTheme="minorEastAsia"/>
                <w:b/>
                <w:sz w:val="20"/>
                <w:szCs w:val="20"/>
              </w:rPr>
              <w:t>Agreement:</w:t>
            </w:r>
          </w:p>
          <w:p>
            <w:pPr>
              <w:keepNext w:val="0"/>
              <w:keepLines w:val="0"/>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textAlignment w:val="baseline"/>
              <w:rPr>
                <w:rFonts w:eastAsia="宋体"/>
                <w:sz w:val="20"/>
                <w:szCs w:val="20"/>
                <w:lang w:val="en-GB"/>
              </w:rPr>
            </w:pPr>
            <w:r>
              <w:rPr>
                <w:rFonts w:eastAsia="宋体"/>
                <w:sz w:val="20"/>
                <w:szCs w:val="20"/>
                <w:lang w:val="en-GB"/>
              </w:rPr>
              <w:t>New TDD pattern together with the features ‘Increasing the number of HARQ processes’ and ‘K1 range extension’ can be considered as one of possible solution to mitigate the guard period impact for Rel-18 ATG scenario.</w:t>
            </w:r>
          </w:p>
          <w:p>
            <w:pPr>
              <w:keepNext w:val="0"/>
              <w:keepLines w:val="0"/>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textAlignment w:val="baseline"/>
              <w:rPr>
                <w:rFonts w:eastAsia="宋体"/>
                <w:sz w:val="20"/>
                <w:szCs w:val="20"/>
                <w:lang w:val="en-GB"/>
              </w:rPr>
            </w:pPr>
            <w:r>
              <w:rPr>
                <w:rFonts w:eastAsia="宋体"/>
                <w:sz w:val="20"/>
                <w:szCs w:val="20"/>
                <w:lang w:val="en-GB"/>
              </w:rPr>
              <w:t>Other solutions not precluded including the UE specific TA reporting as adopted in RRM</w:t>
            </w:r>
          </w:p>
          <w:p>
            <w:pPr>
              <w:keepNext w:val="0"/>
              <w:keepLines w:val="0"/>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textAlignment w:val="baseline"/>
              <w:rPr>
                <w:rFonts w:eastAsia="宋体"/>
                <w:sz w:val="20"/>
                <w:szCs w:val="20"/>
                <w:lang w:val="en-GB"/>
              </w:rPr>
            </w:pPr>
            <w:r>
              <w:rPr>
                <w:rFonts w:eastAsia="宋体"/>
                <w:sz w:val="20"/>
                <w:szCs w:val="20"/>
                <w:lang w:val="en-GB"/>
              </w:rPr>
              <w:t xml:space="preserve">For UE demodulation: </w:t>
            </w:r>
          </w:p>
          <w:p>
            <w:pPr>
              <w:keepNext w:val="0"/>
              <w:keepLines w:val="0"/>
              <w:pageBreakBefore w:val="0"/>
              <w:widowControl/>
              <w:numPr>
                <w:ilvl w:val="1"/>
                <w:numId w:val="7"/>
              </w:numPr>
              <w:kinsoku/>
              <w:wordWrap/>
              <w:overflowPunct w:val="0"/>
              <w:topLinePunct w:val="0"/>
              <w:autoSpaceDE w:val="0"/>
              <w:autoSpaceDN w:val="0"/>
              <w:bidi w:val="0"/>
              <w:adjustRightInd/>
              <w:snapToGrid/>
              <w:spacing w:before="120" w:beforeLines="0" w:after="120" w:afterLines="0" w:line="240" w:lineRule="auto"/>
              <w:textAlignment w:val="baseline"/>
              <w:rPr>
                <w:rFonts w:eastAsia="宋体"/>
                <w:sz w:val="20"/>
                <w:szCs w:val="20"/>
                <w:lang w:val="en-GB"/>
              </w:rPr>
            </w:pPr>
            <w:r>
              <w:rPr>
                <w:rFonts w:eastAsia="宋体"/>
                <w:sz w:val="20"/>
                <w:szCs w:val="20"/>
                <w:lang w:val="en-GB"/>
              </w:rPr>
              <w:t>New UE demodulation requirement can be specified for the static TDD pattern (if introduced)</w:t>
            </w:r>
          </w:p>
          <w:p>
            <w:pPr>
              <w:keepNext w:val="0"/>
              <w:keepLines w:val="0"/>
              <w:pageBreakBefore w:val="0"/>
              <w:widowControl/>
              <w:numPr>
                <w:ilvl w:val="2"/>
                <w:numId w:val="7"/>
              </w:numPr>
              <w:kinsoku/>
              <w:wordWrap/>
              <w:overflowPunct w:val="0"/>
              <w:topLinePunct w:val="0"/>
              <w:autoSpaceDE w:val="0"/>
              <w:autoSpaceDN w:val="0"/>
              <w:bidi w:val="0"/>
              <w:adjustRightInd/>
              <w:snapToGrid/>
              <w:spacing w:before="120" w:beforeLines="0" w:after="120" w:afterLines="0" w:line="240" w:lineRule="auto"/>
              <w:textAlignment w:val="baseline"/>
              <w:rPr>
                <w:rFonts w:eastAsia="宋体"/>
                <w:sz w:val="20"/>
                <w:szCs w:val="20"/>
                <w:lang w:val="en-GB"/>
              </w:rPr>
            </w:pPr>
            <w:r>
              <w:rPr>
                <w:rFonts w:eastAsia="宋体"/>
                <w:sz w:val="20"/>
                <w:szCs w:val="20"/>
                <w:lang w:val="en-GB"/>
              </w:rPr>
              <w:t>FFS on exact test case(s) which may be configured with new TDD pattern.</w:t>
            </w:r>
          </w:p>
          <w:p>
            <w:pPr>
              <w:keepNext w:val="0"/>
              <w:keepLines w:val="0"/>
              <w:pageBreakBefore w:val="0"/>
              <w:widowControl/>
              <w:numPr>
                <w:ilvl w:val="2"/>
                <w:numId w:val="7"/>
              </w:numPr>
              <w:kinsoku/>
              <w:wordWrap/>
              <w:overflowPunct w:val="0"/>
              <w:topLinePunct w:val="0"/>
              <w:autoSpaceDE w:val="0"/>
              <w:autoSpaceDN w:val="0"/>
              <w:bidi w:val="0"/>
              <w:adjustRightInd/>
              <w:snapToGrid/>
              <w:spacing w:before="120" w:beforeLines="0" w:after="120" w:afterLines="0" w:line="240" w:lineRule="auto"/>
              <w:textAlignment w:val="baseline"/>
              <w:rPr>
                <w:rFonts w:eastAsia="宋体"/>
                <w:sz w:val="20"/>
                <w:szCs w:val="20"/>
                <w:lang w:val="en-GB"/>
              </w:rPr>
            </w:pPr>
            <w:r>
              <w:rPr>
                <w:rFonts w:eastAsia="宋体"/>
                <w:sz w:val="20"/>
                <w:szCs w:val="20"/>
                <w:lang w:val="en-GB"/>
              </w:rPr>
              <w:t>FFS on test applicability rules.</w:t>
            </w:r>
          </w:p>
          <w:p>
            <w:pPr>
              <w:keepNext w:val="0"/>
              <w:keepLines w:val="0"/>
              <w:pageBreakBefore w:val="0"/>
              <w:widowControl/>
              <w:numPr>
                <w:ilvl w:val="1"/>
                <w:numId w:val="7"/>
              </w:numPr>
              <w:kinsoku/>
              <w:wordWrap/>
              <w:overflowPunct w:val="0"/>
              <w:topLinePunct w:val="0"/>
              <w:autoSpaceDE w:val="0"/>
              <w:autoSpaceDN w:val="0"/>
              <w:bidi w:val="0"/>
              <w:adjustRightInd/>
              <w:snapToGrid/>
              <w:spacing w:before="120" w:beforeLines="0" w:after="120" w:afterLines="0" w:line="240" w:lineRule="auto"/>
              <w:textAlignment w:val="baseline"/>
              <w:rPr>
                <w:rFonts w:eastAsia="宋体"/>
                <w:sz w:val="20"/>
                <w:szCs w:val="20"/>
                <w:lang w:val="en-GB"/>
              </w:rPr>
            </w:pPr>
            <w:r>
              <w:rPr>
                <w:rFonts w:eastAsia="宋体"/>
                <w:sz w:val="20"/>
                <w:szCs w:val="20"/>
                <w:lang w:val="en-GB"/>
              </w:rPr>
              <w:t>FFS on the impact of UE demodulation for all candidate options</w:t>
            </w:r>
          </w:p>
          <w:p>
            <w:pPr>
              <w:keepNext w:val="0"/>
              <w:keepLines w:val="0"/>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textAlignment w:val="baseline"/>
              <w:rPr>
                <w:rFonts w:eastAsia="宋体"/>
                <w:sz w:val="20"/>
                <w:szCs w:val="20"/>
                <w:lang w:val="en-GB"/>
              </w:rPr>
            </w:pPr>
            <w:r>
              <w:rPr>
                <w:rFonts w:eastAsia="宋体"/>
                <w:sz w:val="20"/>
                <w:szCs w:val="20"/>
                <w:lang w:val="en-GB"/>
              </w:rPr>
              <w:t xml:space="preserve">For BS demodulation: Further discuss test applicability rules and impact with new TDD pattern. </w:t>
            </w:r>
          </w:p>
          <w:p>
            <w:pPr>
              <w:keepNext w:val="0"/>
              <w:keepLines w:val="0"/>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b/>
                <w:sz w:val="20"/>
                <w:szCs w:val="20"/>
                <w:u w:val="single"/>
                <w:lang w:eastAsia="ko-KR"/>
              </w:rPr>
            </w:pPr>
            <w:r>
              <w:rPr>
                <w:b/>
                <w:sz w:val="20"/>
                <w:szCs w:val="20"/>
                <w:u w:val="single"/>
                <w:lang w:eastAsia="ko-KR"/>
              </w:rPr>
              <w:t>Issue 1-4: Specification impact</w:t>
            </w:r>
          </w:p>
          <w:p>
            <w:pPr>
              <w:keepNext w:val="0"/>
              <w:keepLines w:val="0"/>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textAlignment w:val="baseline"/>
              <w:rPr>
                <w:sz w:val="20"/>
                <w:szCs w:val="20"/>
                <w:lang w:val="en-US"/>
              </w:rPr>
            </w:pPr>
            <w:r>
              <w:rPr>
                <w:rFonts w:hint="eastAsia" w:eastAsia="宋体"/>
                <w:sz w:val="20"/>
                <w:szCs w:val="20"/>
                <w:lang w:val="en-GB"/>
              </w:rPr>
              <w:t>F</w:t>
            </w:r>
            <w:r>
              <w:rPr>
                <w:rFonts w:eastAsia="宋体"/>
                <w:sz w:val="20"/>
                <w:szCs w:val="20"/>
                <w:lang w:val="en-GB"/>
              </w:rPr>
              <w:t>FS in next meeting</w:t>
            </w:r>
          </w:p>
        </w:tc>
      </w:tr>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kern w:val="0"/>
          <w:sz w:val="20"/>
          <w:lang w:val="en-US" w:eastAsia="zh-CN"/>
        </w:rPr>
      </w:pPr>
      <w:r>
        <w:rPr>
          <w:rFonts w:hint="eastAsia"/>
          <w:kern w:val="0"/>
          <w:sz w:val="20"/>
          <w:lang w:val="en-US" w:eastAsia="zh-CN"/>
        </w:rPr>
        <w:t xml:space="preserve">This contribution shares some views about ATG scenario. </w:t>
      </w:r>
    </w:p>
    <w:bookmarkEnd w:id="3"/>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bookmarkStart w:id="4" w:name="OLE_LINK41"/>
      <w:bookmarkStart w:id="5" w:name="OLE_LINK6"/>
      <w:bookmarkStart w:id="6" w:name="OLE_LINK66"/>
      <w:bookmarkStart w:id="7" w:name="OLE_LINK23"/>
      <w:r>
        <w:rPr>
          <w:rFonts w:hint="eastAsia"/>
          <w:sz w:val="20"/>
          <w:lang w:val="en-US" w:eastAsia="zh-CN"/>
        </w:rPr>
        <w:t>With regard to test cases, as the new</w:t>
      </w:r>
      <w:r>
        <w:rPr>
          <w:rFonts w:eastAsia="宋体"/>
          <w:sz w:val="20"/>
          <w:lang w:val="en-GB"/>
        </w:rPr>
        <w:t xml:space="preserve"> </w:t>
      </w:r>
      <w:r>
        <w:rPr>
          <w:rFonts w:hint="eastAsia"/>
          <w:sz w:val="20"/>
          <w:lang w:val="en-US" w:eastAsia="zh-CN"/>
        </w:rPr>
        <w:t>TDD pattern is agreed the straight forward way is to define a test case for the new TDD pattern to reflect the practical deployment and to check the UE capability of 32 HARQ process number.</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Proposal 1. To consider new TDD pattern for the exact test case(s).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eastAsia="宋体"/>
          <w:b/>
          <w:bCs/>
          <w:i/>
          <w:iCs/>
          <w:kern w:val="2"/>
          <w:lang w:val="en-US" w:eastAsia="zh-CN"/>
        </w:rPr>
      </w:pPr>
      <w:r>
        <w:rPr>
          <w:rFonts w:hint="eastAsia"/>
          <w:sz w:val="20"/>
          <w:lang w:val="en-US" w:eastAsia="zh-CN"/>
        </w:rPr>
        <w:t xml:space="preserve">With regard to </w:t>
      </w:r>
      <w:r>
        <w:rPr>
          <w:rFonts w:eastAsia="宋体"/>
          <w:sz w:val="20"/>
          <w:lang w:val="en-GB"/>
        </w:rPr>
        <w:t>applicability rule</w:t>
      </w:r>
      <w:r>
        <w:rPr>
          <w:rFonts w:hint="eastAsia"/>
          <w:sz w:val="20"/>
          <w:lang w:val="en-US" w:eastAsia="zh-CN"/>
        </w:rPr>
        <w:t xml:space="preserve"> for UE demodulation, there are 2 meanings about the applicability rule, one is the applicability rule between different TDD pattern, the other is the applicability rule between different BW or antenna configuration, etc. If the applicability rule for different TDD is considered, the new legacy TDD pattern can be skipped if the new TDD pattern is passed. If the applicability rule means the antenna configuration, the larger antenna configuration needs to be tested if both 2Rx and 4Rx is supported.</w:t>
      </w:r>
    </w:p>
    <w:bookmarkEnd w:id="4"/>
    <w:bookmarkEnd w:id="5"/>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lang w:val="en-US" w:eastAsia="zh-CN"/>
        </w:rPr>
      </w:pPr>
      <w:bookmarkStart w:id="8" w:name="OLE_LINK11"/>
      <w:bookmarkStart w:id="9" w:name="OLE_LINK28"/>
      <w:r>
        <w:rPr>
          <w:rFonts w:hint="eastAsia"/>
          <w:b/>
          <w:bCs/>
          <w:i/>
          <w:iCs/>
          <w:kern w:val="2"/>
          <w:lang w:val="en-US" w:eastAsia="zh-CN"/>
        </w:rPr>
        <w:t>Proposal 2. If applicability rule between different TDD pattern is considered, the legacy TDD pattern can be skipped if the test of new TDD pattern is passed.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lang w:val="en-US" w:eastAsia="zh-CN"/>
        </w:rPr>
      </w:pPr>
      <w:r>
        <w:rPr>
          <w:rFonts w:hint="eastAsia"/>
          <w:b/>
          <w:bCs/>
          <w:i/>
          <w:iCs/>
          <w:kern w:val="2"/>
          <w:lang w:val="en-US" w:eastAsia="zh-CN"/>
        </w:rPr>
        <w:t>Proposal 3. If applicability rule between different antenna configuration is considered, 2Rx can be skipped if the test of 4Rx is passed for the ATG CPE supporting both 2Rx and 4Rx.</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r>
        <w:rPr>
          <w:rFonts w:hint="eastAsia"/>
          <w:sz w:val="20"/>
          <w:szCs w:val="20"/>
          <w:lang w:val="en-US" w:eastAsia="zh-CN"/>
        </w:rPr>
        <w:t>T</w:t>
      </w:r>
      <w:r>
        <w:rPr>
          <w:rFonts w:eastAsia="宋体"/>
          <w:sz w:val="20"/>
          <w:szCs w:val="20"/>
          <w:lang w:val="en-GB"/>
        </w:rPr>
        <w:t xml:space="preserve">he impact of UE demodulation for </w:t>
      </w:r>
      <w:r>
        <w:rPr>
          <w:rFonts w:hint="eastAsia"/>
          <w:sz w:val="20"/>
          <w:szCs w:val="20"/>
          <w:lang w:val="en-US" w:eastAsia="zh-CN"/>
        </w:rPr>
        <w:t>different TDD patterns</w:t>
      </w:r>
      <w:r>
        <w:rPr>
          <w:rFonts w:hint="eastAsia"/>
          <w:sz w:val="20"/>
          <w:lang w:val="en-US" w:eastAsia="zh-CN"/>
        </w:rPr>
        <w:t xml:space="preserve"> is not identified as long as UE supports 32HARQ number and K1 extension. Our accompany contribution[</w:t>
      </w:r>
      <w:r>
        <w:rPr>
          <w:rFonts w:hint="eastAsia"/>
          <w:color w:val="auto"/>
          <w:sz w:val="20"/>
          <w:lang w:val="en-US" w:eastAsia="zh-CN"/>
        </w:rPr>
        <w:t>3</w:t>
      </w:r>
      <w:r>
        <w:rPr>
          <w:rFonts w:hint="eastAsia"/>
          <w:sz w:val="20"/>
          <w:lang w:val="en-US" w:eastAsia="zh-CN"/>
        </w:rPr>
        <w:t>] shows that the performance of legacy TDD patterns and new TDD patterns is similar.</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lang w:val="en-US" w:eastAsia="zh-CN"/>
        </w:rPr>
      </w:pPr>
      <w:r>
        <w:rPr>
          <w:rFonts w:hint="eastAsia"/>
          <w:b/>
          <w:bCs/>
          <w:i/>
          <w:iCs/>
          <w:kern w:val="2"/>
          <w:lang w:val="en-US" w:eastAsia="zh-CN"/>
        </w:rPr>
        <w:t>Observation 1. The impact of UE demodulation for different TDD patterns is not identified as long as UE supports 32HARQ number and K1 extension.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lang w:val="en-US" w:eastAsia="zh-CN"/>
        </w:rPr>
      </w:pPr>
    </w:p>
    <w:p>
      <w:pPr>
        <w:pStyle w:val="62"/>
        <w:keepLines w:val="0"/>
        <w:widowControl w:val="0"/>
        <w:spacing w:before="120" w:after="120"/>
        <w:ind w:left="0" w:firstLine="0"/>
        <w:rPr>
          <w:rFonts w:hint="default"/>
          <w:b/>
          <w:bCs/>
          <w:i/>
          <w:iCs/>
          <w:kern w:val="2"/>
          <w:lang w:val="en-US" w:eastAsia="zh-CN"/>
        </w:rPr>
      </w:pPr>
    </w:p>
    <w:bookmarkEnd w:id="6"/>
    <w:bookmarkEnd w:id="7"/>
    <w:bookmarkEnd w:id="8"/>
    <w:bookmarkEnd w:id="9"/>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bCs/>
          <w:kern w:val="0"/>
          <w:szCs w:val="21"/>
        </w:rPr>
      </w:pPr>
      <w:r>
        <w:rPr>
          <w:rFonts w:hint="eastAsia"/>
          <w:sz w:val="20"/>
        </w:rPr>
        <w:t xml:space="preserve">In this contribution, we give </w:t>
      </w:r>
      <w:r>
        <w:rPr>
          <w:rFonts w:hint="eastAsia"/>
          <w:sz w:val="20"/>
          <w:lang w:val="en-US" w:eastAsia="zh-CN"/>
        </w:rPr>
        <w:t>our viewpoint of Doppler shift assumption for</w:t>
      </w:r>
      <w:r>
        <w:rPr>
          <w:rFonts w:hint="eastAsia"/>
          <w:sz w:val="20"/>
        </w:rPr>
        <w:t xml:space="preserve"> </w:t>
      </w:r>
      <w:r>
        <w:rPr>
          <w:rFonts w:hint="eastAsia"/>
          <w:sz w:val="20"/>
          <w:lang w:val="en-US" w:eastAsia="zh-CN"/>
        </w:rPr>
        <w:t>ATG scenario</w:t>
      </w:r>
      <w:r>
        <w:rPr>
          <w:rFonts w:hint="eastAsia"/>
          <w:sz w:val="20"/>
        </w:rPr>
        <w:t xml:space="preserve">. </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Cs w:val="21"/>
        </w:rPr>
      </w:pPr>
      <w:r>
        <w:rPr>
          <w:rFonts w:hint="eastAsia"/>
          <w:bCs/>
          <w:kern w:val="0"/>
          <w:szCs w:val="21"/>
        </w:rPr>
        <w:t>The conclusions are: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lang w:val="en-US" w:eastAsia="zh-CN"/>
        </w:rPr>
      </w:pPr>
      <w:r>
        <w:rPr>
          <w:rFonts w:hint="eastAsia"/>
          <w:b/>
          <w:bCs/>
          <w:i/>
          <w:iCs/>
          <w:kern w:val="2"/>
          <w:lang w:val="en-US" w:eastAsia="zh-CN"/>
        </w:rPr>
        <w:t>Observation 1. The impact of UE demodulation for different TDD patterns is not identified as long as UE supports 32HARQ number and K1 extension.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Proposal 1. To consider new TDD pattern for the exact test case(s).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lang w:val="en-US" w:eastAsia="zh-CN"/>
        </w:rPr>
      </w:pPr>
      <w:r>
        <w:rPr>
          <w:rFonts w:hint="eastAsia"/>
          <w:b/>
          <w:bCs/>
          <w:i/>
          <w:iCs/>
          <w:kern w:val="2"/>
          <w:lang w:val="en-US" w:eastAsia="zh-CN"/>
        </w:rPr>
        <w:t>Proposal 2. If applicability rule between different TDD pattern is considered, the legacy TDD pattern can be skipped if the test of new TDD pattern is passed.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lang w:val="en-US" w:eastAsia="zh-CN"/>
        </w:rPr>
      </w:pPr>
      <w:r>
        <w:rPr>
          <w:rFonts w:hint="eastAsia"/>
          <w:b/>
          <w:bCs/>
          <w:i/>
          <w:iCs/>
          <w:kern w:val="2"/>
          <w:lang w:val="en-US" w:eastAsia="zh-CN"/>
        </w:rPr>
        <w:t>Proposal 3. If applicability rule between different antenna configuration is considered, 2Rx can be skipped if the test of 4Rx is passed for the ATG CPE supporting both 2Rx and 4Rx.</w:t>
      </w: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rPr>
        <w:t xml:space="preserve">[1] </w:t>
      </w:r>
      <w:bookmarkStart w:id="10" w:name="OLE_LINK32"/>
      <w:r>
        <w:rPr>
          <w:rFonts w:hint="eastAsia"/>
          <w:sz w:val="20"/>
          <w:lang w:val="en-US" w:eastAsia="zh-CN"/>
        </w:rPr>
        <w:t xml:space="preserve"> </w:t>
      </w:r>
      <w:bookmarkEnd w:id="10"/>
      <w:r>
        <w:rPr>
          <w:rFonts w:hint="eastAsia"/>
          <w:sz w:val="20"/>
        </w:rPr>
        <w:t>RP-230279, Revised WID on Air-to-ground network for NR, CMCC</w:t>
      </w:r>
    </w:p>
    <w:p>
      <w:pPr>
        <w:widowControl w:val="0"/>
        <w:tabs>
          <w:tab w:val="left" w:pos="90"/>
          <w:tab w:val="left" w:pos="1868"/>
          <w:tab w:val="right" w:pos="10648"/>
        </w:tabs>
        <w:spacing w:beforeLines="0" w:afterLines="0" w:line="260" w:lineRule="auto"/>
        <w:jc w:val="left"/>
        <w:rPr>
          <w:rFonts w:hint="eastAsia"/>
          <w:sz w:val="20"/>
          <w:lang w:val="en-US" w:eastAsia="zh-CN"/>
        </w:rPr>
      </w:pPr>
      <w:r>
        <w:rPr>
          <w:rFonts w:hint="eastAsia"/>
          <w:sz w:val="20"/>
        </w:rPr>
        <w:t>[</w:t>
      </w:r>
      <w:r>
        <w:rPr>
          <w:rFonts w:hint="eastAsia"/>
          <w:sz w:val="20"/>
          <w:lang w:val="en-US" w:eastAsia="zh-CN"/>
        </w:rPr>
        <w:t>2</w:t>
      </w:r>
      <w:r>
        <w:rPr>
          <w:rFonts w:hint="eastAsia"/>
          <w:sz w:val="20"/>
        </w:rPr>
        <w:t>]</w:t>
      </w:r>
      <w:r>
        <w:rPr>
          <w:rFonts w:hint="eastAsia"/>
          <w:sz w:val="20"/>
          <w:lang w:val="en-US" w:eastAsia="zh-CN"/>
        </w:rPr>
        <w:t xml:space="preserve">  </w:t>
      </w:r>
      <w:r>
        <w:rPr>
          <w:rFonts w:hint="eastAsia"/>
          <w:sz w:val="20"/>
        </w:rPr>
        <w:t>R4-2309796</w:t>
      </w:r>
      <w:r>
        <w:rPr>
          <w:rFonts w:hint="eastAsia"/>
          <w:sz w:val="20"/>
          <w:lang w:val="en-US" w:eastAsia="zh-CN"/>
        </w:rPr>
        <w:t xml:space="preserve">, </w:t>
      </w:r>
      <w:r>
        <w:rPr>
          <w:rFonts w:hint="eastAsia"/>
          <w:sz w:val="20"/>
        </w:rPr>
        <w:t>WF for ATG demodulation requirements</w:t>
      </w:r>
      <w:r>
        <w:rPr>
          <w:rFonts w:hint="eastAsia"/>
          <w:sz w:val="20"/>
          <w:lang w:val="en-US" w:eastAsia="zh-CN"/>
        </w:rPr>
        <w:t>, CMCC</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lang w:val="en-US" w:eastAsia="zh-CN"/>
        </w:rPr>
        <w:t>[3]  R4-2311505, Simulation results for ATG UE demodulation, ZTE</w:t>
      </w:r>
      <w:bookmarkStart w:id="11" w:name="_GoBack"/>
      <w:bookmarkEnd w:id="11"/>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4A0623"/>
    <w:rsid w:val="01536583"/>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90434"/>
    <w:rsid w:val="01FB366B"/>
    <w:rsid w:val="01FD3930"/>
    <w:rsid w:val="02045ABB"/>
    <w:rsid w:val="021B7C87"/>
    <w:rsid w:val="022D4A6E"/>
    <w:rsid w:val="023B0A39"/>
    <w:rsid w:val="023C78A7"/>
    <w:rsid w:val="023D4988"/>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445E8F"/>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7D1D66"/>
    <w:rsid w:val="058A1B21"/>
    <w:rsid w:val="059D265F"/>
    <w:rsid w:val="05B92EC1"/>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80124E3"/>
    <w:rsid w:val="080C7FA0"/>
    <w:rsid w:val="08193C24"/>
    <w:rsid w:val="08234820"/>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306537"/>
    <w:rsid w:val="09355076"/>
    <w:rsid w:val="09392119"/>
    <w:rsid w:val="09445E95"/>
    <w:rsid w:val="09543B3B"/>
    <w:rsid w:val="09600FBD"/>
    <w:rsid w:val="0972595C"/>
    <w:rsid w:val="098143BC"/>
    <w:rsid w:val="098500F1"/>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D57F5"/>
    <w:rsid w:val="0A9E3D3D"/>
    <w:rsid w:val="0AA077E0"/>
    <w:rsid w:val="0AC01F88"/>
    <w:rsid w:val="0AC0212C"/>
    <w:rsid w:val="0ACE5B04"/>
    <w:rsid w:val="0AD542C1"/>
    <w:rsid w:val="0AD82BD7"/>
    <w:rsid w:val="0ADD5A20"/>
    <w:rsid w:val="0AE10FD9"/>
    <w:rsid w:val="0AF13898"/>
    <w:rsid w:val="0AFB3228"/>
    <w:rsid w:val="0AFC6C07"/>
    <w:rsid w:val="0B0025CC"/>
    <w:rsid w:val="0B0250FD"/>
    <w:rsid w:val="0B0F025C"/>
    <w:rsid w:val="0B1A6333"/>
    <w:rsid w:val="0B2713F4"/>
    <w:rsid w:val="0B3D701F"/>
    <w:rsid w:val="0B3E7DD7"/>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960418"/>
    <w:rsid w:val="0CA3502C"/>
    <w:rsid w:val="0CB94808"/>
    <w:rsid w:val="0CC37BC2"/>
    <w:rsid w:val="0CD87ABE"/>
    <w:rsid w:val="0CE26C42"/>
    <w:rsid w:val="0CE632FF"/>
    <w:rsid w:val="0CE76B48"/>
    <w:rsid w:val="0CEB5DBE"/>
    <w:rsid w:val="0CF06BF8"/>
    <w:rsid w:val="0CFB523A"/>
    <w:rsid w:val="0D1B1E9C"/>
    <w:rsid w:val="0D4B44A1"/>
    <w:rsid w:val="0D6309C9"/>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6271DF"/>
    <w:rsid w:val="0E81568A"/>
    <w:rsid w:val="0E942250"/>
    <w:rsid w:val="0E963344"/>
    <w:rsid w:val="0E9E6E00"/>
    <w:rsid w:val="0EA40C1C"/>
    <w:rsid w:val="0EB1720D"/>
    <w:rsid w:val="0EB72E4B"/>
    <w:rsid w:val="0EEC6F1D"/>
    <w:rsid w:val="0F103291"/>
    <w:rsid w:val="0F1D498B"/>
    <w:rsid w:val="0F1E5A47"/>
    <w:rsid w:val="0F337178"/>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6D2686"/>
    <w:rsid w:val="107C3E2C"/>
    <w:rsid w:val="107D41AE"/>
    <w:rsid w:val="108C2479"/>
    <w:rsid w:val="10C715C5"/>
    <w:rsid w:val="10D335EF"/>
    <w:rsid w:val="10E746EA"/>
    <w:rsid w:val="10E83FE0"/>
    <w:rsid w:val="10EC3168"/>
    <w:rsid w:val="10F52718"/>
    <w:rsid w:val="113F6A80"/>
    <w:rsid w:val="114028DC"/>
    <w:rsid w:val="1141355F"/>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307341C"/>
    <w:rsid w:val="130B72E3"/>
    <w:rsid w:val="130C40FE"/>
    <w:rsid w:val="130E3629"/>
    <w:rsid w:val="130F03EB"/>
    <w:rsid w:val="131A4B0F"/>
    <w:rsid w:val="131B39DD"/>
    <w:rsid w:val="13283BA4"/>
    <w:rsid w:val="13332F77"/>
    <w:rsid w:val="13334E1C"/>
    <w:rsid w:val="13346EE4"/>
    <w:rsid w:val="13384952"/>
    <w:rsid w:val="1355107F"/>
    <w:rsid w:val="135D4D2E"/>
    <w:rsid w:val="1366638D"/>
    <w:rsid w:val="136D76E8"/>
    <w:rsid w:val="137266E0"/>
    <w:rsid w:val="13735B23"/>
    <w:rsid w:val="138141DF"/>
    <w:rsid w:val="139D3156"/>
    <w:rsid w:val="13AA5FA1"/>
    <w:rsid w:val="13AF6488"/>
    <w:rsid w:val="13C20262"/>
    <w:rsid w:val="13D024B3"/>
    <w:rsid w:val="13D115EF"/>
    <w:rsid w:val="13D86A45"/>
    <w:rsid w:val="13DD445E"/>
    <w:rsid w:val="13DE7C83"/>
    <w:rsid w:val="13F3590D"/>
    <w:rsid w:val="13FD073F"/>
    <w:rsid w:val="140171D9"/>
    <w:rsid w:val="14030046"/>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10F33"/>
    <w:rsid w:val="14E60B42"/>
    <w:rsid w:val="14EA1C4D"/>
    <w:rsid w:val="14F14F3B"/>
    <w:rsid w:val="150222BF"/>
    <w:rsid w:val="150F7C33"/>
    <w:rsid w:val="1515004B"/>
    <w:rsid w:val="151B7C99"/>
    <w:rsid w:val="15207BBA"/>
    <w:rsid w:val="152B44F4"/>
    <w:rsid w:val="152F4E1B"/>
    <w:rsid w:val="15390DAF"/>
    <w:rsid w:val="154D342A"/>
    <w:rsid w:val="15520877"/>
    <w:rsid w:val="1559587F"/>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355980"/>
    <w:rsid w:val="1738730F"/>
    <w:rsid w:val="17416499"/>
    <w:rsid w:val="17481B81"/>
    <w:rsid w:val="17481E8B"/>
    <w:rsid w:val="174A69B0"/>
    <w:rsid w:val="175007ED"/>
    <w:rsid w:val="176B45C6"/>
    <w:rsid w:val="176B5780"/>
    <w:rsid w:val="176C447F"/>
    <w:rsid w:val="17850F99"/>
    <w:rsid w:val="17875303"/>
    <w:rsid w:val="178815C4"/>
    <w:rsid w:val="1793626E"/>
    <w:rsid w:val="17991452"/>
    <w:rsid w:val="17A875F5"/>
    <w:rsid w:val="17B5256D"/>
    <w:rsid w:val="17B728E1"/>
    <w:rsid w:val="17B92501"/>
    <w:rsid w:val="17CC1970"/>
    <w:rsid w:val="17E65848"/>
    <w:rsid w:val="17E66DD8"/>
    <w:rsid w:val="17E84839"/>
    <w:rsid w:val="17EE1403"/>
    <w:rsid w:val="17F25234"/>
    <w:rsid w:val="17FC1BEE"/>
    <w:rsid w:val="17FD061B"/>
    <w:rsid w:val="17FF6314"/>
    <w:rsid w:val="18005F41"/>
    <w:rsid w:val="18025414"/>
    <w:rsid w:val="18171305"/>
    <w:rsid w:val="182A241D"/>
    <w:rsid w:val="18334194"/>
    <w:rsid w:val="183E1D37"/>
    <w:rsid w:val="183E7BF4"/>
    <w:rsid w:val="184D0787"/>
    <w:rsid w:val="185D1883"/>
    <w:rsid w:val="185E3AA1"/>
    <w:rsid w:val="18812331"/>
    <w:rsid w:val="18816F1C"/>
    <w:rsid w:val="18853F3E"/>
    <w:rsid w:val="18956393"/>
    <w:rsid w:val="189859AD"/>
    <w:rsid w:val="18A8582C"/>
    <w:rsid w:val="18B50543"/>
    <w:rsid w:val="18B60776"/>
    <w:rsid w:val="18C9089D"/>
    <w:rsid w:val="18CA40C3"/>
    <w:rsid w:val="18CD7A02"/>
    <w:rsid w:val="18ED46F4"/>
    <w:rsid w:val="19001FFC"/>
    <w:rsid w:val="190E2B4A"/>
    <w:rsid w:val="191F7D1E"/>
    <w:rsid w:val="19256D7A"/>
    <w:rsid w:val="192A7C07"/>
    <w:rsid w:val="193275C2"/>
    <w:rsid w:val="194D2005"/>
    <w:rsid w:val="19655A52"/>
    <w:rsid w:val="19663168"/>
    <w:rsid w:val="197724BD"/>
    <w:rsid w:val="19786B0A"/>
    <w:rsid w:val="198A41A1"/>
    <w:rsid w:val="19987C27"/>
    <w:rsid w:val="199A2059"/>
    <w:rsid w:val="19B02FFE"/>
    <w:rsid w:val="19B30945"/>
    <w:rsid w:val="19B46E10"/>
    <w:rsid w:val="19C456C1"/>
    <w:rsid w:val="19F061A1"/>
    <w:rsid w:val="1A054259"/>
    <w:rsid w:val="1A081816"/>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E30A9"/>
    <w:rsid w:val="1DAB1006"/>
    <w:rsid w:val="1DB33C11"/>
    <w:rsid w:val="1DC65562"/>
    <w:rsid w:val="1DE94164"/>
    <w:rsid w:val="1DEE1B11"/>
    <w:rsid w:val="1E1149E3"/>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E5D6B"/>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1E6D7C"/>
    <w:rsid w:val="202C5ACA"/>
    <w:rsid w:val="20446081"/>
    <w:rsid w:val="204852AD"/>
    <w:rsid w:val="204B330F"/>
    <w:rsid w:val="204E6676"/>
    <w:rsid w:val="205A5AA0"/>
    <w:rsid w:val="20773A28"/>
    <w:rsid w:val="208115A6"/>
    <w:rsid w:val="208574F4"/>
    <w:rsid w:val="208C4449"/>
    <w:rsid w:val="208F6BAF"/>
    <w:rsid w:val="20A462BA"/>
    <w:rsid w:val="20BF2AAC"/>
    <w:rsid w:val="20C849C7"/>
    <w:rsid w:val="20DF66D2"/>
    <w:rsid w:val="20EC3F2E"/>
    <w:rsid w:val="20EC7C3E"/>
    <w:rsid w:val="210548E9"/>
    <w:rsid w:val="21124D15"/>
    <w:rsid w:val="211C6B81"/>
    <w:rsid w:val="213E7119"/>
    <w:rsid w:val="21530058"/>
    <w:rsid w:val="21732704"/>
    <w:rsid w:val="217D15BC"/>
    <w:rsid w:val="21810744"/>
    <w:rsid w:val="218D6EF5"/>
    <w:rsid w:val="2195668B"/>
    <w:rsid w:val="219F69EC"/>
    <w:rsid w:val="21A130EA"/>
    <w:rsid w:val="21AB278B"/>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B6237"/>
    <w:rsid w:val="22CD14B5"/>
    <w:rsid w:val="22E02C6E"/>
    <w:rsid w:val="22E04FF4"/>
    <w:rsid w:val="22E1121B"/>
    <w:rsid w:val="22EA4C70"/>
    <w:rsid w:val="22F62099"/>
    <w:rsid w:val="22F75251"/>
    <w:rsid w:val="22F86F75"/>
    <w:rsid w:val="22FB4D32"/>
    <w:rsid w:val="23131055"/>
    <w:rsid w:val="233C6F76"/>
    <w:rsid w:val="234449F5"/>
    <w:rsid w:val="23536618"/>
    <w:rsid w:val="23816932"/>
    <w:rsid w:val="23923EC7"/>
    <w:rsid w:val="23972CF0"/>
    <w:rsid w:val="239C062C"/>
    <w:rsid w:val="23A9484E"/>
    <w:rsid w:val="23B32F98"/>
    <w:rsid w:val="23B84268"/>
    <w:rsid w:val="23D17D7B"/>
    <w:rsid w:val="23D36D91"/>
    <w:rsid w:val="23F70BA5"/>
    <w:rsid w:val="23F93D0D"/>
    <w:rsid w:val="2405417E"/>
    <w:rsid w:val="241B5C62"/>
    <w:rsid w:val="24352A14"/>
    <w:rsid w:val="243B2F20"/>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4E766A"/>
    <w:rsid w:val="296B0F20"/>
    <w:rsid w:val="297161D3"/>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2B6079"/>
    <w:rsid w:val="2B313FC1"/>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74898"/>
    <w:rsid w:val="2D6B40A9"/>
    <w:rsid w:val="2D784D57"/>
    <w:rsid w:val="2D8703A1"/>
    <w:rsid w:val="2D8A3FA2"/>
    <w:rsid w:val="2D9767DC"/>
    <w:rsid w:val="2D980DDC"/>
    <w:rsid w:val="2D987372"/>
    <w:rsid w:val="2D9D0109"/>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1251F2"/>
    <w:rsid w:val="2F2D445E"/>
    <w:rsid w:val="2F3D2327"/>
    <w:rsid w:val="2F4F6FBB"/>
    <w:rsid w:val="2F664E2B"/>
    <w:rsid w:val="2F6C7BE3"/>
    <w:rsid w:val="2F783485"/>
    <w:rsid w:val="2F7F5C0B"/>
    <w:rsid w:val="2FA0088D"/>
    <w:rsid w:val="2FA6492D"/>
    <w:rsid w:val="2FC03679"/>
    <w:rsid w:val="2FC86676"/>
    <w:rsid w:val="2FD17A1B"/>
    <w:rsid w:val="2FD71CA4"/>
    <w:rsid w:val="2FDC4A8D"/>
    <w:rsid w:val="2FF93066"/>
    <w:rsid w:val="301A71CE"/>
    <w:rsid w:val="301E049B"/>
    <w:rsid w:val="302A4BE6"/>
    <w:rsid w:val="30396A0E"/>
    <w:rsid w:val="304478EC"/>
    <w:rsid w:val="30515C8E"/>
    <w:rsid w:val="3069301C"/>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A7A1E"/>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4A3219"/>
    <w:rsid w:val="32537B57"/>
    <w:rsid w:val="325779E7"/>
    <w:rsid w:val="325F618E"/>
    <w:rsid w:val="32757E99"/>
    <w:rsid w:val="327D43E5"/>
    <w:rsid w:val="328F5534"/>
    <w:rsid w:val="329A6ACE"/>
    <w:rsid w:val="32A145CA"/>
    <w:rsid w:val="32A230DB"/>
    <w:rsid w:val="32BE0772"/>
    <w:rsid w:val="32DF351E"/>
    <w:rsid w:val="32EE5E41"/>
    <w:rsid w:val="32F40F87"/>
    <w:rsid w:val="32FD7C76"/>
    <w:rsid w:val="330643F9"/>
    <w:rsid w:val="330C22FC"/>
    <w:rsid w:val="330D4310"/>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9B1D3D"/>
    <w:rsid w:val="35C06D50"/>
    <w:rsid w:val="35CD6F14"/>
    <w:rsid w:val="35D24294"/>
    <w:rsid w:val="35D71152"/>
    <w:rsid w:val="35FF6F3C"/>
    <w:rsid w:val="36075F27"/>
    <w:rsid w:val="360D1C5B"/>
    <w:rsid w:val="36121506"/>
    <w:rsid w:val="36182B79"/>
    <w:rsid w:val="361D7A43"/>
    <w:rsid w:val="361F3323"/>
    <w:rsid w:val="36402EFA"/>
    <w:rsid w:val="36496A51"/>
    <w:rsid w:val="365623F6"/>
    <w:rsid w:val="368230C6"/>
    <w:rsid w:val="36843A03"/>
    <w:rsid w:val="368F7E4F"/>
    <w:rsid w:val="36925340"/>
    <w:rsid w:val="36985297"/>
    <w:rsid w:val="369F633B"/>
    <w:rsid w:val="36A30FDB"/>
    <w:rsid w:val="36A7007C"/>
    <w:rsid w:val="36B24AE8"/>
    <w:rsid w:val="36BD0DC4"/>
    <w:rsid w:val="36D51D00"/>
    <w:rsid w:val="36D66B5E"/>
    <w:rsid w:val="36E040A5"/>
    <w:rsid w:val="36E93760"/>
    <w:rsid w:val="36F9704A"/>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B3C3C"/>
    <w:rsid w:val="37C94031"/>
    <w:rsid w:val="37CA042E"/>
    <w:rsid w:val="37D44549"/>
    <w:rsid w:val="37D77B09"/>
    <w:rsid w:val="37D97EDE"/>
    <w:rsid w:val="37E76E34"/>
    <w:rsid w:val="380D02B1"/>
    <w:rsid w:val="382B1BDF"/>
    <w:rsid w:val="382E392C"/>
    <w:rsid w:val="38342E90"/>
    <w:rsid w:val="384B7332"/>
    <w:rsid w:val="385056AF"/>
    <w:rsid w:val="386652BF"/>
    <w:rsid w:val="38693DA0"/>
    <w:rsid w:val="386A7142"/>
    <w:rsid w:val="38706DCB"/>
    <w:rsid w:val="38890D89"/>
    <w:rsid w:val="388E5848"/>
    <w:rsid w:val="38A341A7"/>
    <w:rsid w:val="38BA6810"/>
    <w:rsid w:val="38BD31EE"/>
    <w:rsid w:val="38BE4605"/>
    <w:rsid w:val="38CB3BDF"/>
    <w:rsid w:val="38D33D29"/>
    <w:rsid w:val="38D41CCF"/>
    <w:rsid w:val="38D62E18"/>
    <w:rsid w:val="38E40A5B"/>
    <w:rsid w:val="38E842BA"/>
    <w:rsid w:val="38F07867"/>
    <w:rsid w:val="38F16A28"/>
    <w:rsid w:val="391A3359"/>
    <w:rsid w:val="39285D57"/>
    <w:rsid w:val="394B6470"/>
    <w:rsid w:val="395C6EA8"/>
    <w:rsid w:val="39872512"/>
    <w:rsid w:val="39A602F9"/>
    <w:rsid w:val="39BD45C8"/>
    <w:rsid w:val="39C2316A"/>
    <w:rsid w:val="39C44028"/>
    <w:rsid w:val="39E643EA"/>
    <w:rsid w:val="39F36281"/>
    <w:rsid w:val="39FA0290"/>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A90B75"/>
    <w:rsid w:val="3AB00167"/>
    <w:rsid w:val="3ABF30D9"/>
    <w:rsid w:val="3AC17E3A"/>
    <w:rsid w:val="3AC64615"/>
    <w:rsid w:val="3ACB5746"/>
    <w:rsid w:val="3ACE209E"/>
    <w:rsid w:val="3ADA6F06"/>
    <w:rsid w:val="3ADD1594"/>
    <w:rsid w:val="3ADD2B05"/>
    <w:rsid w:val="3AE417E3"/>
    <w:rsid w:val="3AE440AF"/>
    <w:rsid w:val="3AF7667E"/>
    <w:rsid w:val="3B113F51"/>
    <w:rsid w:val="3B192990"/>
    <w:rsid w:val="3B295D73"/>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ED0F96"/>
    <w:rsid w:val="3DF95812"/>
    <w:rsid w:val="3E1D4B24"/>
    <w:rsid w:val="3E3A04FA"/>
    <w:rsid w:val="3E3D6B96"/>
    <w:rsid w:val="3E441C7D"/>
    <w:rsid w:val="3E490256"/>
    <w:rsid w:val="3E55739E"/>
    <w:rsid w:val="3E610D47"/>
    <w:rsid w:val="3E6C43C8"/>
    <w:rsid w:val="3E8227F0"/>
    <w:rsid w:val="3E8505CC"/>
    <w:rsid w:val="3E937F82"/>
    <w:rsid w:val="3E9B4B40"/>
    <w:rsid w:val="3EB71AC8"/>
    <w:rsid w:val="3EC85E34"/>
    <w:rsid w:val="3ECF2AAC"/>
    <w:rsid w:val="3ED0424C"/>
    <w:rsid w:val="3ED07B7E"/>
    <w:rsid w:val="3ED655CD"/>
    <w:rsid w:val="3EED4B87"/>
    <w:rsid w:val="3EF31E7F"/>
    <w:rsid w:val="3EF36DF0"/>
    <w:rsid w:val="3F035EE1"/>
    <w:rsid w:val="3F0406D4"/>
    <w:rsid w:val="3F053EF6"/>
    <w:rsid w:val="3F093188"/>
    <w:rsid w:val="3F173F6B"/>
    <w:rsid w:val="3F1E1DE8"/>
    <w:rsid w:val="3F253B0C"/>
    <w:rsid w:val="3F2C04C4"/>
    <w:rsid w:val="3F3E7C9F"/>
    <w:rsid w:val="3F416B99"/>
    <w:rsid w:val="3F477080"/>
    <w:rsid w:val="3F4F5AD7"/>
    <w:rsid w:val="3F643908"/>
    <w:rsid w:val="3F6B75A6"/>
    <w:rsid w:val="3F8C0A49"/>
    <w:rsid w:val="3F8E7DCD"/>
    <w:rsid w:val="3F913853"/>
    <w:rsid w:val="3F9660C3"/>
    <w:rsid w:val="3F9724DD"/>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65170A"/>
    <w:rsid w:val="406E5CAB"/>
    <w:rsid w:val="40713C35"/>
    <w:rsid w:val="408376F8"/>
    <w:rsid w:val="40901AD0"/>
    <w:rsid w:val="40A25054"/>
    <w:rsid w:val="40A325E0"/>
    <w:rsid w:val="40B7228C"/>
    <w:rsid w:val="40BD0DA1"/>
    <w:rsid w:val="40EC7D18"/>
    <w:rsid w:val="40ED11A0"/>
    <w:rsid w:val="40FD1BF0"/>
    <w:rsid w:val="40FE7A3D"/>
    <w:rsid w:val="41096BC0"/>
    <w:rsid w:val="410A75B6"/>
    <w:rsid w:val="410B452A"/>
    <w:rsid w:val="41146D26"/>
    <w:rsid w:val="413353F1"/>
    <w:rsid w:val="41513BC9"/>
    <w:rsid w:val="41735B7F"/>
    <w:rsid w:val="419E60D3"/>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B5824"/>
    <w:rsid w:val="42616DD3"/>
    <w:rsid w:val="426973AD"/>
    <w:rsid w:val="426F56CA"/>
    <w:rsid w:val="427A67A1"/>
    <w:rsid w:val="427E0B36"/>
    <w:rsid w:val="42A03D98"/>
    <w:rsid w:val="42A729F1"/>
    <w:rsid w:val="42B94BC1"/>
    <w:rsid w:val="42C30254"/>
    <w:rsid w:val="42C42A08"/>
    <w:rsid w:val="42C7649B"/>
    <w:rsid w:val="42D064B1"/>
    <w:rsid w:val="42D41F6D"/>
    <w:rsid w:val="42D5342A"/>
    <w:rsid w:val="42DE48A3"/>
    <w:rsid w:val="42E16058"/>
    <w:rsid w:val="42F17BF5"/>
    <w:rsid w:val="42F30D8B"/>
    <w:rsid w:val="42F87EC9"/>
    <w:rsid w:val="42FA45BF"/>
    <w:rsid w:val="43054171"/>
    <w:rsid w:val="430E7E66"/>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300615"/>
    <w:rsid w:val="44371929"/>
    <w:rsid w:val="443740AF"/>
    <w:rsid w:val="44394DDE"/>
    <w:rsid w:val="443F5998"/>
    <w:rsid w:val="44480935"/>
    <w:rsid w:val="444851FA"/>
    <w:rsid w:val="44544CC5"/>
    <w:rsid w:val="445E4DEE"/>
    <w:rsid w:val="44640994"/>
    <w:rsid w:val="446B0434"/>
    <w:rsid w:val="44756A66"/>
    <w:rsid w:val="447E4EBE"/>
    <w:rsid w:val="447F0CBA"/>
    <w:rsid w:val="44957F46"/>
    <w:rsid w:val="44994CF5"/>
    <w:rsid w:val="44AD40AD"/>
    <w:rsid w:val="44DC46EB"/>
    <w:rsid w:val="44E67D8B"/>
    <w:rsid w:val="44EA6491"/>
    <w:rsid w:val="44F03F8F"/>
    <w:rsid w:val="44F14ECF"/>
    <w:rsid w:val="44F8119B"/>
    <w:rsid w:val="4504328F"/>
    <w:rsid w:val="45275172"/>
    <w:rsid w:val="45332511"/>
    <w:rsid w:val="453F44DA"/>
    <w:rsid w:val="45412C46"/>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D37F0B"/>
    <w:rsid w:val="46D71533"/>
    <w:rsid w:val="46E53335"/>
    <w:rsid w:val="47155D89"/>
    <w:rsid w:val="473069AF"/>
    <w:rsid w:val="474A0EAF"/>
    <w:rsid w:val="474D4AFC"/>
    <w:rsid w:val="474E50BE"/>
    <w:rsid w:val="47696F9C"/>
    <w:rsid w:val="47714F1F"/>
    <w:rsid w:val="47725A17"/>
    <w:rsid w:val="477D3243"/>
    <w:rsid w:val="478821A1"/>
    <w:rsid w:val="479128A9"/>
    <w:rsid w:val="47975EDC"/>
    <w:rsid w:val="47983B19"/>
    <w:rsid w:val="47A3609D"/>
    <w:rsid w:val="47C01792"/>
    <w:rsid w:val="47C57A48"/>
    <w:rsid w:val="47D511BD"/>
    <w:rsid w:val="47DC159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84AA0"/>
    <w:rsid w:val="49D7694D"/>
    <w:rsid w:val="49EB7232"/>
    <w:rsid w:val="4A0244D3"/>
    <w:rsid w:val="4A067C85"/>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F02EA1"/>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030742"/>
    <w:rsid w:val="4D462159"/>
    <w:rsid w:val="4D47409F"/>
    <w:rsid w:val="4D525BE3"/>
    <w:rsid w:val="4D566017"/>
    <w:rsid w:val="4D6022FC"/>
    <w:rsid w:val="4D637556"/>
    <w:rsid w:val="4D7358D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7241"/>
    <w:rsid w:val="4E4C50A3"/>
    <w:rsid w:val="4E507CCA"/>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B06027"/>
    <w:rsid w:val="4EBD3E8B"/>
    <w:rsid w:val="4EDB58B2"/>
    <w:rsid w:val="4EE925CE"/>
    <w:rsid w:val="4EEB1A94"/>
    <w:rsid w:val="4EEB74E5"/>
    <w:rsid w:val="4EEF2E30"/>
    <w:rsid w:val="4EF24828"/>
    <w:rsid w:val="4EFE7F59"/>
    <w:rsid w:val="4F285975"/>
    <w:rsid w:val="4F2A7BF3"/>
    <w:rsid w:val="4F2E2624"/>
    <w:rsid w:val="4F4E1077"/>
    <w:rsid w:val="4F546156"/>
    <w:rsid w:val="4F5D1434"/>
    <w:rsid w:val="4F844A99"/>
    <w:rsid w:val="4F94662C"/>
    <w:rsid w:val="4FB00163"/>
    <w:rsid w:val="4FB208E7"/>
    <w:rsid w:val="4FE30332"/>
    <w:rsid w:val="4FE70BB4"/>
    <w:rsid w:val="4FE73C01"/>
    <w:rsid w:val="4FE87C31"/>
    <w:rsid w:val="4FEE342A"/>
    <w:rsid w:val="4FF14DCF"/>
    <w:rsid w:val="500815B6"/>
    <w:rsid w:val="500B39BC"/>
    <w:rsid w:val="50116021"/>
    <w:rsid w:val="502173F8"/>
    <w:rsid w:val="5022123F"/>
    <w:rsid w:val="5025703C"/>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53936"/>
    <w:rsid w:val="519E116A"/>
    <w:rsid w:val="51A2793A"/>
    <w:rsid w:val="51BA0CB7"/>
    <w:rsid w:val="51BE04CC"/>
    <w:rsid w:val="51D129CA"/>
    <w:rsid w:val="51D93F8A"/>
    <w:rsid w:val="51D940B1"/>
    <w:rsid w:val="51E5046A"/>
    <w:rsid w:val="52272B85"/>
    <w:rsid w:val="52284E31"/>
    <w:rsid w:val="523E09B5"/>
    <w:rsid w:val="52687B2A"/>
    <w:rsid w:val="526E0E82"/>
    <w:rsid w:val="527733A7"/>
    <w:rsid w:val="527901C6"/>
    <w:rsid w:val="528F4A24"/>
    <w:rsid w:val="52944BB6"/>
    <w:rsid w:val="529A08FC"/>
    <w:rsid w:val="52A24532"/>
    <w:rsid w:val="52B3363A"/>
    <w:rsid w:val="52C4763C"/>
    <w:rsid w:val="52C56A7E"/>
    <w:rsid w:val="52DE691D"/>
    <w:rsid w:val="52E04D27"/>
    <w:rsid w:val="52ED0C96"/>
    <w:rsid w:val="53061492"/>
    <w:rsid w:val="53061721"/>
    <w:rsid w:val="530C0E6B"/>
    <w:rsid w:val="53166FEF"/>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FE7128"/>
    <w:rsid w:val="540D4449"/>
    <w:rsid w:val="540F3D40"/>
    <w:rsid w:val="54201800"/>
    <w:rsid w:val="54247F22"/>
    <w:rsid w:val="542B4430"/>
    <w:rsid w:val="542C29CD"/>
    <w:rsid w:val="542F1551"/>
    <w:rsid w:val="54381756"/>
    <w:rsid w:val="545750B7"/>
    <w:rsid w:val="545A1EBF"/>
    <w:rsid w:val="54727478"/>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5EB7"/>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70501"/>
    <w:rsid w:val="577B3337"/>
    <w:rsid w:val="577D4F28"/>
    <w:rsid w:val="57A33734"/>
    <w:rsid w:val="57AB6ADD"/>
    <w:rsid w:val="57B7178E"/>
    <w:rsid w:val="57B71EB5"/>
    <w:rsid w:val="57B76EED"/>
    <w:rsid w:val="57BD72A7"/>
    <w:rsid w:val="57BE5838"/>
    <w:rsid w:val="57BE5B51"/>
    <w:rsid w:val="57CE70CD"/>
    <w:rsid w:val="57D82354"/>
    <w:rsid w:val="57FC07D9"/>
    <w:rsid w:val="57FF6992"/>
    <w:rsid w:val="580F1B21"/>
    <w:rsid w:val="581B7E79"/>
    <w:rsid w:val="58500F22"/>
    <w:rsid w:val="58587379"/>
    <w:rsid w:val="58667ABC"/>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3559FD"/>
    <w:rsid w:val="594079B2"/>
    <w:rsid w:val="596A688E"/>
    <w:rsid w:val="5987482A"/>
    <w:rsid w:val="598C6F19"/>
    <w:rsid w:val="599C49A8"/>
    <w:rsid w:val="59A36725"/>
    <w:rsid w:val="59B21BF9"/>
    <w:rsid w:val="59BB4EA3"/>
    <w:rsid w:val="59E9525B"/>
    <w:rsid w:val="59EA4433"/>
    <w:rsid w:val="59F01012"/>
    <w:rsid w:val="59F70BAF"/>
    <w:rsid w:val="5A0D5C90"/>
    <w:rsid w:val="5A0F4AFB"/>
    <w:rsid w:val="5A297D0D"/>
    <w:rsid w:val="5A3B166C"/>
    <w:rsid w:val="5A3C0F08"/>
    <w:rsid w:val="5A3E5B83"/>
    <w:rsid w:val="5A54407C"/>
    <w:rsid w:val="5A5663A3"/>
    <w:rsid w:val="5A571746"/>
    <w:rsid w:val="5A6253E3"/>
    <w:rsid w:val="5A680E5C"/>
    <w:rsid w:val="5A8E2B19"/>
    <w:rsid w:val="5A8E6670"/>
    <w:rsid w:val="5A912613"/>
    <w:rsid w:val="5A9245E9"/>
    <w:rsid w:val="5A953D41"/>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6A6AEE"/>
    <w:rsid w:val="5B731FA9"/>
    <w:rsid w:val="5B785E83"/>
    <w:rsid w:val="5B7C1CD1"/>
    <w:rsid w:val="5B9004A9"/>
    <w:rsid w:val="5B907C6C"/>
    <w:rsid w:val="5B9251EF"/>
    <w:rsid w:val="5BAB5BC4"/>
    <w:rsid w:val="5BB054DF"/>
    <w:rsid w:val="5BB20B74"/>
    <w:rsid w:val="5BC677D8"/>
    <w:rsid w:val="5BEB0120"/>
    <w:rsid w:val="5BEC175C"/>
    <w:rsid w:val="5C097C4E"/>
    <w:rsid w:val="5C1A3A93"/>
    <w:rsid w:val="5C235386"/>
    <w:rsid w:val="5C2E6510"/>
    <w:rsid w:val="5C3B6CFC"/>
    <w:rsid w:val="5C4C2CF4"/>
    <w:rsid w:val="5C615117"/>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8A2CFF"/>
    <w:rsid w:val="5D960EE9"/>
    <w:rsid w:val="5D9A0CFA"/>
    <w:rsid w:val="5D9B296A"/>
    <w:rsid w:val="5DA53D05"/>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3370DF"/>
    <w:rsid w:val="5F491124"/>
    <w:rsid w:val="5F683B6E"/>
    <w:rsid w:val="5F7D5B44"/>
    <w:rsid w:val="5F875C0C"/>
    <w:rsid w:val="5F8F0B9E"/>
    <w:rsid w:val="5F8F267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7A6EE7"/>
    <w:rsid w:val="6182260C"/>
    <w:rsid w:val="618D6AD7"/>
    <w:rsid w:val="619E7CE8"/>
    <w:rsid w:val="61AD68BC"/>
    <w:rsid w:val="61B173D2"/>
    <w:rsid w:val="61D43A2B"/>
    <w:rsid w:val="61E34474"/>
    <w:rsid w:val="61EB5611"/>
    <w:rsid w:val="61FF316E"/>
    <w:rsid w:val="621542CB"/>
    <w:rsid w:val="622A0761"/>
    <w:rsid w:val="624263A2"/>
    <w:rsid w:val="625272C3"/>
    <w:rsid w:val="626B336E"/>
    <w:rsid w:val="626E0821"/>
    <w:rsid w:val="62715337"/>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2265C6"/>
    <w:rsid w:val="64264A79"/>
    <w:rsid w:val="64290FA1"/>
    <w:rsid w:val="64304E58"/>
    <w:rsid w:val="64311867"/>
    <w:rsid w:val="64391ED3"/>
    <w:rsid w:val="6445632E"/>
    <w:rsid w:val="64501C8A"/>
    <w:rsid w:val="64742B63"/>
    <w:rsid w:val="647E661E"/>
    <w:rsid w:val="648939AA"/>
    <w:rsid w:val="648C635C"/>
    <w:rsid w:val="649B1AC2"/>
    <w:rsid w:val="64A7467B"/>
    <w:rsid w:val="64B53322"/>
    <w:rsid w:val="64C61AF8"/>
    <w:rsid w:val="64C86505"/>
    <w:rsid w:val="64CA0AA0"/>
    <w:rsid w:val="64FE700F"/>
    <w:rsid w:val="6500327F"/>
    <w:rsid w:val="6506609B"/>
    <w:rsid w:val="65083216"/>
    <w:rsid w:val="65460728"/>
    <w:rsid w:val="65822810"/>
    <w:rsid w:val="65870C45"/>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66F45"/>
    <w:rsid w:val="676D2F4B"/>
    <w:rsid w:val="677A266A"/>
    <w:rsid w:val="677C1A81"/>
    <w:rsid w:val="677E7198"/>
    <w:rsid w:val="678A426A"/>
    <w:rsid w:val="67914BE1"/>
    <w:rsid w:val="67A01F16"/>
    <w:rsid w:val="67A96661"/>
    <w:rsid w:val="67B163D1"/>
    <w:rsid w:val="67D7447D"/>
    <w:rsid w:val="67F45538"/>
    <w:rsid w:val="680239EB"/>
    <w:rsid w:val="68034597"/>
    <w:rsid w:val="680722DA"/>
    <w:rsid w:val="681C64D7"/>
    <w:rsid w:val="682211D1"/>
    <w:rsid w:val="6836510C"/>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F0745A"/>
    <w:rsid w:val="6A0D20F2"/>
    <w:rsid w:val="6A1D59EC"/>
    <w:rsid w:val="6A247F72"/>
    <w:rsid w:val="6A3E2393"/>
    <w:rsid w:val="6A435B92"/>
    <w:rsid w:val="6A444DB8"/>
    <w:rsid w:val="6A4D4828"/>
    <w:rsid w:val="6A516AC3"/>
    <w:rsid w:val="6A5303BA"/>
    <w:rsid w:val="6A677080"/>
    <w:rsid w:val="6A6C357E"/>
    <w:rsid w:val="6A711183"/>
    <w:rsid w:val="6A7B4B9C"/>
    <w:rsid w:val="6A7F585E"/>
    <w:rsid w:val="6AAF014C"/>
    <w:rsid w:val="6AC07690"/>
    <w:rsid w:val="6ACB082B"/>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858B3"/>
    <w:rsid w:val="6C240DF3"/>
    <w:rsid w:val="6C267BF0"/>
    <w:rsid w:val="6C3E2FAF"/>
    <w:rsid w:val="6C45610F"/>
    <w:rsid w:val="6C59472D"/>
    <w:rsid w:val="6C5A4564"/>
    <w:rsid w:val="6C603744"/>
    <w:rsid w:val="6C637CCF"/>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AB5BEE"/>
    <w:rsid w:val="6FB77ED4"/>
    <w:rsid w:val="6FBD4D2F"/>
    <w:rsid w:val="6FBF4710"/>
    <w:rsid w:val="6FC9052A"/>
    <w:rsid w:val="6FC9109F"/>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60B3B"/>
    <w:rsid w:val="70BB2EF0"/>
    <w:rsid w:val="70BC2801"/>
    <w:rsid w:val="70C6646C"/>
    <w:rsid w:val="70C72A96"/>
    <w:rsid w:val="70FC2D1E"/>
    <w:rsid w:val="71015D6B"/>
    <w:rsid w:val="710266F5"/>
    <w:rsid w:val="71115386"/>
    <w:rsid w:val="71151975"/>
    <w:rsid w:val="71336A65"/>
    <w:rsid w:val="71545B37"/>
    <w:rsid w:val="71570E43"/>
    <w:rsid w:val="71573E01"/>
    <w:rsid w:val="715A268F"/>
    <w:rsid w:val="71702748"/>
    <w:rsid w:val="717C4AD2"/>
    <w:rsid w:val="71867894"/>
    <w:rsid w:val="719F7A78"/>
    <w:rsid w:val="71B623F6"/>
    <w:rsid w:val="71C7540C"/>
    <w:rsid w:val="71D438FF"/>
    <w:rsid w:val="71F64A63"/>
    <w:rsid w:val="71F870B8"/>
    <w:rsid w:val="72021233"/>
    <w:rsid w:val="720B2A1D"/>
    <w:rsid w:val="72380401"/>
    <w:rsid w:val="72502F9F"/>
    <w:rsid w:val="725817D3"/>
    <w:rsid w:val="726E6AD4"/>
    <w:rsid w:val="727C422C"/>
    <w:rsid w:val="728E71EE"/>
    <w:rsid w:val="7292045A"/>
    <w:rsid w:val="72974DBE"/>
    <w:rsid w:val="72A20C20"/>
    <w:rsid w:val="72AC5E95"/>
    <w:rsid w:val="72AD26CF"/>
    <w:rsid w:val="72C13ED7"/>
    <w:rsid w:val="72C46163"/>
    <w:rsid w:val="72CF1AC7"/>
    <w:rsid w:val="72E42AFA"/>
    <w:rsid w:val="72E85578"/>
    <w:rsid w:val="72EB4466"/>
    <w:rsid w:val="72F5235D"/>
    <w:rsid w:val="72FA28B3"/>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6B50BD"/>
    <w:rsid w:val="746B732F"/>
    <w:rsid w:val="746E18CB"/>
    <w:rsid w:val="746F3904"/>
    <w:rsid w:val="748D52FA"/>
    <w:rsid w:val="74986414"/>
    <w:rsid w:val="74993216"/>
    <w:rsid w:val="74B11E80"/>
    <w:rsid w:val="74B44784"/>
    <w:rsid w:val="74B808BF"/>
    <w:rsid w:val="74C03187"/>
    <w:rsid w:val="74E4756E"/>
    <w:rsid w:val="74EA0E1A"/>
    <w:rsid w:val="74ED19FF"/>
    <w:rsid w:val="74F4641C"/>
    <w:rsid w:val="75084E8F"/>
    <w:rsid w:val="7509261E"/>
    <w:rsid w:val="75202656"/>
    <w:rsid w:val="752231CE"/>
    <w:rsid w:val="756625FA"/>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0B2EAA"/>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DC713A"/>
    <w:rsid w:val="79EC0256"/>
    <w:rsid w:val="79F60153"/>
    <w:rsid w:val="79FB6E2C"/>
    <w:rsid w:val="7A36322F"/>
    <w:rsid w:val="7A3C2BAA"/>
    <w:rsid w:val="7A3D2527"/>
    <w:rsid w:val="7A4C2D60"/>
    <w:rsid w:val="7A5C4815"/>
    <w:rsid w:val="7A5E0869"/>
    <w:rsid w:val="7A5F1C81"/>
    <w:rsid w:val="7A6E4BF5"/>
    <w:rsid w:val="7A7A2665"/>
    <w:rsid w:val="7A851D5D"/>
    <w:rsid w:val="7A8A2267"/>
    <w:rsid w:val="7AB53126"/>
    <w:rsid w:val="7AB7121B"/>
    <w:rsid w:val="7AB76FE8"/>
    <w:rsid w:val="7AD268E2"/>
    <w:rsid w:val="7ADC0B33"/>
    <w:rsid w:val="7AE14C19"/>
    <w:rsid w:val="7AEA174E"/>
    <w:rsid w:val="7AEC1F55"/>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11E7"/>
    <w:rsid w:val="7C34521A"/>
    <w:rsid w:val="7C4A2BD1"/>
    <w:rsid w:val="7C576C70"/>
    <w:rsid w:val="7C607511"/>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5B27C9"/>
    <w:rsid w:val="7D62117D"/>
    <w:rsid w:val="7D6B7F02"/>
    <w:rsid w:val="7D834A16"/>
    <w:rsid w:val="7D9D0A97"/>
    <w:rsid w:val="7D9D438F"/>
    <w:rsid w:val="7DA514D2"/>
    <w:rsid w:val="7DBB5D06"/>
    <w:rsid w:val="7DCD1A27"/>
    <w:rsid w:val="7DCD4EB5"/>
    <w:rsid w:val="7DD76E6E"/>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67EC1"/>
    <w:rsid w:val="7F6B2248"/>
    <w:rsid w:val="7F6D45C9"/>
    <w:rsid w:val="7F775413"/>
    <w:rsid w:val="7F7D7A8E"/>
    <w:rsid w:val="7F872588"/>
    <w:rsid w:val="7F8725BA"/>
    <w:rsid w:val="7F8C6A8F"/>
    <w:rsid w:val="7F9C175D"/>
    <w:rsid w:val="7FA85877"/>
    <w:rsid w:val="7FAB3A81"/>
    <w:rsid w:val="7FBE68FB"/>
    <w:rsid w:val="7FCB6843"/>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12</TotalTime>
  <ScaleCrop>false</ScaleCrop>
  <LinksUpToDate>false</LinksUpToDate>
  <CharactersWithSpaces>7127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ZTE(Liu Wenhao)</cp:lastModifiedBy>
  <dcterms:modified xsi:type="dcterms:W3CDTF">2023-08-10T11:43:21Z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